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47" w:rsidRDefault="00741247" w:rsidP="006678A9">
      <w:pPr>
        <w:spacing w:line="360" w:lineRule="auto"/>
        <w:rPr>
          <w:sz w:val="24"/>
          <w:szCs w:val="24"/>
          <w:lang w:val="it-IT"/>
        </w:rPr>
      </w:pPr>
      <w:r w:rsidRPr="00FC35B5">
        <w:rPr>
          <w:sz w:val="24"/>
          <w:szCs w:val="24"/>
          <w:lang w:val="it-IT"/>
        </w:rPr>
        <w:t xml:space="preserve">Valutazione retrospettiva del fenotipo clinico e del trattamento nei pazienti affetti da  </w:t>
      </w:r>
      <w:r>
        <w:rPr>
          <w:sz w:val="24"/>
          <w:szCs w:val="24"/>
          <w:lang w:val="it-IT"/>
        </w:rPr>
        <w:t>difetti del fibrinogeno (</w:t>
      </w:r>
      <w:proofErr w:type="spellStart"/>
      <w:r w:rsidRPr="00FC35B5">
        <w:rPr>
          <w:sz w:val="24"/>
          <w:szCs w:val="24"/>
          <w:lang w:val="it-IT"/>
        </w:rPr>
        <w:t>afibrinogenemia</w:t>
      </w:r>
      <w:proofErr w:type="spellEnd"/>
      <w:r w:rsidRPr="00FC35B5">
        <w:rPr>
          <w:sz w:val="24"/>
          <w:szCs w:val="24"/>
          <w:lang w:val="it-IT"/>
        </w:rPr>
        <w:t>/</w:t>
      </w:r>
      <w:proofErr w:type="spellStart"/>
      <w:r w:rsidRPr="00FC35B5">
        <w:rPr>
          <w:sz w:val="24"/>
          <w:szCs w:val="24"/>
          <w:lang w:val="it-IT"/>
        </w:rPr>
        <w:t>ipofibrinogenemia</w:t>
      </w:r>
      <w:proofErr w:type="spellEnd"/>
      <w:r>
        <w:rPr>
          <w:sz w:val="24"/>
          <w:szCs w:val="24"/>
          <w:lang w:val="it-IT"/>
        </w:rPr>
        <w:t>/</w:t>
      </w:r>
      <w:proofErr w:type="spellStart"/>
      <w:r>
        <w:rPr>
          <w:sz w:val="24"/>
          <w:szCs w:val="24"/>
          <w:lang w:val="it-IT"/>
        </w:rPr>
        <w:t>disfibrinogenemia</w:t>
      </w:r>
      <w:proofErr w:type="spellEnd"/>
      <w:r>
        <w:rPr>
          <w:sz w:val="24"/>
          <w:szCs w:val="24"/>
          <w:lang w:val="it-IT"/>
        </w:rPr>
        <w:t>)</w:t>
      </w:r>
      <w:r w:rsidRPr="00FC35B5">
        <w:rPr>
          <w:sz w:val="24"/>
          <w:szCs w:val="24"/>
          <w:lang w:val="it-IT"/>
        </w:rPr>
        <w:t>.</w:t>
      </w:r>
    </w:p>
    <w:p w:rsidR="006678A9" w:rsidRPr="00FC35B5" w:rsidRDefault="006678A9" w:rsidP="006678A9">
      <w:pPr>
        <w:spacing w:line="360" w:lineRule="auto"/>
        <w:rPr>
          <w:sz w:val="24"/>
          <w:szCs w:val="24"/>
          <w:lang w:val="it-IT"/>
        </w:rPr>
      </w:pPr>
      <w:r w:rsidRPr="00FC35B5">
        <w:rPr>
          <w:sz w:val="24"/>
          <w:szCs w:val="24"/>
          <w:lang w:val="it-IT"/>
        </w:rPr>
        <w:t xml:space="preserve">Cristina Santoro, Giancarlo </w:t>
      </w:r>
      <w:proofErr w:type="spellStart"/>
      <w:r w:rsidRPr="00FC35B5">
        <w:rPr>
          <w:sz w:val="24"/>
          <w:szCs w:val="24"/>
          <w:lang w:val="it-IT"/>
        </w:rPr>
        <w:t>Castaman</w:t>
      </w:r>
      <w:proofErr w:type="spellEnd"/>
      <w:r w:rsidRPr="00FC35B5">
        <w:rPr>
          <w:sz w:val="24"/>
          <w:szCs w:val="24"/>
          <w:lang w:val="it-IT"/>
        </w:rPr>
        <w:t xml:space="preserve">, Flora </w:t>
      </w:r>
      <w:proofErr w:type="spellStart"/>
      <w:r w:rsidRPr="00FC35B5">
        <w:rPr>
          <w:sz w:val="24"/>
          <w:szCs w:val="24"/>
          <w:lang w:val="it-IT"/>
        </w:rPr>
        <w:t>Peyvandi</w:t>
      </w:r>
      <w:proofErr w:type="spellEnd"/>
      <w:r w:rsidRPr="00FC35B5">
        <w:rPr>
          <w:sz w:val="24"/>
          <w:szCs w:val="24"/>
          <w:lang w:val="it-IT"/>
        </w:rPr>
        <w:t xml:space="preserve">, Maria Gabriella </w:t>
      </w:r>
      <w:proofErr w:type="spellStart"/>
      <w:r w:rsidRPr="00FC35B5">
        <w:rPr>
          <w:sz w:val="24"/>
          <w:szCs w:val="24"/>
          <w:lang w:val="it-IT"/>
        </w:rPr>
        <w:t>Mazzucconi</w:t>
      </w:r>
      <w:proofErr w:type="spellEnd"/>
    </w:p>
    <w:p w:rsidR="006678A9" w:rsidRDefault="006678A9" w:rsidP="006678A9">
      <w:pPr>
        <w:spacing w:after="0" w:line="360" w:lineRule="auto"/>
        <w:jc w:val="both"/>
        <w:rPr>
          <w:sz w:val="24"/>
          <w:szCs w:val="24"/>
          <w:lang w:val="it-IT"/>
        </w:rPr>
      </w:pPr>
      <w:r w:rsidRPr="00C02CDC">
        <w:rPr>
          <w:b/>
          <w:sz w:val="24"/>
          <w:szCs w:val="24"/>
          <w:u w:val="single"/>
          <w:lang w:val="it-IT"/>
        </w:rPr>
        <w:t>Introduzione</w:t>
      </w:r>
      <w:r w:rsidRPr="00A3003A">
        <w:rPr>
          <w:sz w:val="24"/>
          <w:szCs w:val="24"/>
          <w:lang w:val="it-IT"/>
        </w:rPr>
        <w:t xml:space="preserve"> </w:t>
      </w:r>
    </w:p>
    <w:p w:rsidR="006678A9" w:rsidRDefault="006678A9" w:rsidP="006678A9">
      <w:pPr>
        <w:spacing w:after="0" w:line="360" w:lineRule="auto"/>
        <w:jc w:val="both"/>
        <w:rPr>
          <w:sz w:val="24"/>
          <w:szCs w:val="24"/>
          <w:lang w:val="it-IT"/>
        </w:rPr>
      </w:pPr>
      <w:r w:rsidRPr="00A3003A">
        <w:rPr>
          <w:sz w:val="24"/>
          <w:szCs w:val="24"/>
          <w:lang w:val="it-IT"/>
        </w:rPr>
        <w:t xml:space="preserve">Il fibrinogeno è una </w:t>
      </w:r>
      <w:proofErr w:type="spellStart"/>
      <w:r w:rsidRPr="00A3003A">
        <w:rPr>
          <w:sz w:val="24"/>
          <w:szCs w:val="24"/>
          <w:lang w:val="it-IT"/>
        </w:rPr>
        <w:t>glicoproteina</w:t>
      </w:r>
      <w:proofErr w:type="spellEnd"/>
      <w:r w:rsidRPr="00A3003A">
        <w:rPr>
          <w:sz w:val="24"/>
          <w:szCs w:val="24"/>
          <w:lang w:val="it-IT"/>
        </w:rPr>
        <w:t xml:space="preserve"> di circa 340 </w:t>
      </w:r>
      <w:proofErr w:type="spellStart"/>
      <w:r w:rsidRPr="00A3003A">
        <w:rPr>
          <w:sz w:val="24"/>
          <w:szCs w:val="24"/>
          <w:lang w:val="it-IT"/>
        </w:rPr>
        <w:t>Kd</w:t>
      </w:r>
      <w:proofErr w:type="spellEnd"/>
      <w:r w:rsidRPr="00A3003A">
        <w:rPr>
          <w:sz w:val="24"/>
          <w:szCs w:val="24"/>
          <w:lang w:val="it-IT"/>
        </w:rPr>
        <w:t>, sintetizzata prevalentemente dagli epatociti</w:t>
      </w:r>
      <w:r w:rsidRPr="006F4DA7">
        <w:rPr>
          <w:sz w:val="24"/>
          <w:szCs w:val="24"/>
          <w:lang w:val="it-IT"/>
        </w:rPr>
        <w:t xml:space="preserve">, </w:t>
      </w:r>
      <w:r w:rsidRPr="00A3003A">
        <w:rPr>
          <w:sz w:val="24"/>
          <w:szCs w:val="24"/>
          <w:lang w:val="it-IT"/>
        </w:rPr>
        <w:t>che circola nel plasma ad una concentrazione di 150-350 mg/dl ed ha una emivita di circa 3 giorni</w:t>
      </w:r>
      <w:r w:rsidRPr="006F4DA7">
        <w:rPr>
          <w:sz w:val="24"/>
          <w:szCs w:val="24"/>
          <w:lang w:val="it-IT"/>
        </w:rPr>
        <w:t xml:space="preserve">. </w:t>
      </w:r>
    </w:p>
    <w:p w:rsidR="006678A9" w:rsidRPr="00E37B3E" w:rsidRDefault="006678A9" w:rsidP="006678A9">
      <w:pPr>
        <w:spacing w:line="360" w:lineRule="auto"/>
        <w:jc w:val="both"/>
        <w:rPr>
          <w:sz w:val="24"/>
          <w:szCs w:val="24"/>
          <w:lang w:val="it-IT"/>
        </w:rPr>
      </w:pPr>
      <w:r w:rsidRPr="004F51DE">
        <w:rPr>
          <w:sz w:val="24"/>
          <w:szCs w:val="24"/>
          <w:lang w:val="it-IT"/>
        </w:rPr>
        <w:t>Le alterazioni congenite del fibrinogeno possono essere quantitative (</w:t>
      </w:r>
      <w:proofErr w:type="spellStart"/>
      <w:r w:rsidRPr="004F51DE">
        <w:rPr>
          <w:sz w:val="24"/>
          <w:szCs w:val="24"/>
          <w:lang w:val="it-IT"/>
        </w:rPr>
        <w:t>Ipofibrinogenemia</w:t>
      </w:r>
      <w:proofErr w:type="spellEnd"/>
      <w:r w:rsidRPr="004F51DE">
        <w:rPr>
          <w:sz w:val="24"/>
          <w:szCs w:val="24"/>
          <w:lang w:val="it-IT"/>
        </w:rPr>
        <w:t xml:space="preserve">, </w:t>
      </w:r>
      <w:proofErr w:type="spellStart"/>
      <w:r w:rsidRPr="004F51DE">
        <w:rPr>
          <w:sz w:val="24"/>
          <w:szCs w:val="24"/>
          <w:lang w:val="it-IT"/>
        </w:rPr>
        <w:t>Afibrinogenemia</w:t>
      </w:r>
      <w:proofErr w:type="spellEnd"/>
      <w:r w:rsidRPr="004F51DE">
        <w:rPr>
          <w:sz w:val="24"/>
          <w:szCs w:val="24"/>
          <w:lang w:val="it-IT"/>
        </w:rPr>
        <w:t>) o qualitative (</w:t>
      </w:r>
      <w:proofErr w:type="spellStart"/>
      <w:r w:rsidRPr="004F51DE">
        <w:rPr>
          <w:sz w:val="24"/>
          <w:szCs w:val="24"/>
          <w:lang w:val="it-IT"/>
        </w:rPr>
        <w:t>Disfibrinogenemia</w:t>
      </w:r>
      <w:proofErr w:type="spellEnd"/>
      <w:r w:rsidRPr="004F51DE">
        <w:rPr>
          <w:sz w:val="24"/>
          <w:szCs w:val="24"/>
          <w:lang w:val="it-IT"/>
        </w:rPr>
        <w:t xml:space="preserve">) e sono causate da mutazioni dei geni che codificano per le tre catene </w:t>
      </w:r>
      <w:proofErr w:type="spellStart"/>
      <w:r w:rsidRPr="004F51DE">
        <w:rPr>
          <w:sz w:val="24"/>
          <w:szCs w:val="24"/>
          <w:lang w:val="it-IT"/>
        </w:rPr>
        <w:t>Aα</w:t>
      </w:r>
      <w:proofErr w:type="spellEnd"/>
      <w:r w:rsidRPr="004F51DE">
        <w:rPr>
          <w:sz w:val="24"/>
          <w:szCs w:val="24"/>
          <w:lang w:val="it-IT"/>
        </w:rPr>
        <w:t xml:space="preserve">, Bβ e γ. </w:t>
      </w:r>
      <w:r>
        <w:rPr>
          <w:sz w:val="24"/>
          <w:szCs w:val="24"/>
          <w:lang w:val="it-IT"/>
        </w:rPr>
        <w:t>La prevalenza dell’</w:t>
      </w:r>
      <w:proofErr w:type="spellStart"/>
      <w:r>
        <w:rPr>
          <w:sz w:val="24"/>
          <w:szCs w:val="24"/>
          <w:lang w:val="it-IT"/>
        </w:rPr>
        <w:t>afibrinogenemia</w:t>
      </w:r>
      <w:proofErr w:type="spellEnd"/>
      <w:r>
        <w:rPr>
          <w:sz w:val="24"/>
          <w:szCs w:val="24"/>
          <w:lang w:val="it-IT"/>
        </w:rPr>
        <w:t xml:space="preserve"> è di circa 1:1000.000, mentre per quanto riguarda l’</w:t>
      </w:r>
      <w:proofErr w:type="spellStart"/>
      <w:r>
        <w:rPr>
          <w:sz w:val="24"/>
          <w:szCs w:val="24"/>
          <w:lang w:val="it-IT"/>
        </w:rPr>
        <w:t>ipo-</w:t>
      </w:r>
      <w:r w:rsidRPr="00FC35B5">
        <w:rPr>
          <w:sz w:val="24"/>
          <w:szCs w:val="24"/>
          <w:lang w:val="it-IT"/>
        </w:rPr>
        <w:t>fibrinogenemia</w:t>
      </w:r>
      <w:proofErr w:type="spellEnd"/>
      <w:r w:rsidRPr="00FC35B5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è difficile stabilire una prevalenza, in quanto molti casi possono essere asintomatici.</w:t>
      </w:r>
      <w:r w:rsidRPr="00FC35B5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I difetti quantitativi del fibrinogeno sono stati sempre considerati delle carenze coagulative a fenotipo emorragico. </w:t>
      </w:r>
      <w:r w:rsidRPr="00E37B3E">
        <w:rPr>
          <w:sz w:val="24"/>
          <w:szCs w:val="24"/>
          <w:lang w:val="it-IT"/>
        </w:rPr>
        <w:t xml:space="preserve">Tuttavia, sono sempre più numerose le segnalazioni in letteratura di episodi trombotici arteriosi e/o venosi, associati a tali </w:t>
      </w:r>
      <w:proofErr w:type="spellStart"/>
      <w:r w:rsidRPr="00E37B3E">
        <w:rPr>
          <w:sz w:val="24"/>
          <w:szCs w:val="24"/>
          <w:lang w:val="it-IT"/>
        </w:rPr>
        <w:t>coagulopatie</w:t>
      </w:r>
      <w:proofErr w:type="spellEnd"/>
      <w:r w:rsidRPr="00E37B3E">
        <w:rPr>
          <w:sz w:val="24"/>
          <w:szCs w:val="24"/>
          <w:lang w:val="it-IT"/>
        </w:rPr>
        <w:t xml:space="preserve">, sia spontanei che in relazione al trattamento sostitutivo. </w:t>
      </w:r>
      <w:r w:rsidR="00741247" w:rsidRPr="00FA05AC">
        <w:rPr>
          <w:sz w:val="24"/>
          <w:szCs w:val="24"/>
          <w:lang w:val="it-IT"/>
        </w:rPr>
        <w:t xml:space="preserve">La </w:t>
      </w:r>
      <w:proofErr w:type="spellStart"/>
      <w:r w:rsidR="00741247" w:rsidRPr="00FA05AC">
        <w:rPr>
          <w:sz w:val="24"/>
          <w:szCs w:val="24"/>
          <w:lang w:val="it-IT"/>
        </w:rPr>
        <w:t>disfibrinogenemia</w:t>
      </w:r>
      <w:proofErr w:type="spellEnd"/>
      <w:r w:rsidR="00741247" w:rsidRPr="00FA05AC">
        <w:rPr>
          <w:sz w:val="24"/>
          <w:szCs w:val="24"/>
          <w:lang w:val="it-IT"/>
        </w:rPr>
        <w:t xml:space="preserve"> congenita è il difetto del fibrinogeno più frequente, ma è difficile stabilirne l’esatta prevalenza dal momento che vi è un gran numero di casi asintomatici non segnalati</w:t>
      </w:r>
      <w:r w:rsidR="00741247">
        <w:rPr>
          <w:sz w:val="24"/>
          <w:szCs w:val="24"/>
          <w:lang w:val="it-IT"/>
        </w:rPr>
        <w:t xml:space="preserve">. </w:t>
      </w:r>
      <w:r w:rsidR="00741247" w:rsidRPr="00FA05AC">
        <w:rPr>
          <w:sz w:val="24"/>
          <w:szCs w:val="24"/>
          <w:lang w:val="it-IT"/>
        </w:rPr>
        <w:t xml:space="preserve">I pazienti affetti da </w:t>
      </w:r>
      <w:proofErr w:type="spellStart"/>
      <w:r w:rsidR="00741247" w:rsidRPr="00FA05AC">
        <w:rPr>
          <w:sz w:val="24"/>
          <w:szCs w:val="24"/>
          <w:lang w:val="it-IT"/>
        </w:rPr>
        <w:t>disfibrinogenemia</w:t>
      </w:r>
      <w:proofErr w:type="spellEnd"/>
      <w:r w:rsidR="00741247" w:rsidRPr="00FA05AC">
        <w:rPr>
          <w:sz w:val="24"/>
          <w:szCs w:val="24"/>
          <w:lang w:val="it-IT"/>
        </w:rPr>
        <w:t xml:space="preserve"> congenita presentano un fenotipo variabile. Possono essere asintomatici, ma anche andare incontro a complicanze emorragiche e/o trombotiche</w:t>
      </w:r>
      <w:r w:rsidR="00741247">
        <w:rPr>
          <w:sz w:val="24"/>
          <w:szCs w:val="24"/>
          <w:lang w:val="it-IT"/>
        </w:rPr>
        <w:t>.</w:t>
      </w:r>
    </w:p>
    <w:p w:rsidR="006678A9" w:rsidRPr="006678A9" w:rsidRDefault="006678A9" w:rsidP="006678A9">
      <w:pPr>
        <w:spacing w:line="360" w:lineRule="auto"/>
        <w:jc w:val="both"/>
        <w:rPr>
          <w:b/>
          <w:sz w:val="24"/>
          <w:szCs w:val="24"/>
          <w:u w:val="single"/>
          <w:lang w:val="it-IT"/>
        </w:rPr>
      </w:pPr>
      <w:r w:rsidRPr="006678A9">
        <w:rPr>
          <w:b/>
          <w:sz w:val="24"/>
          <w:szCs w:val="24"/>
          <w:u w:val="single"/>
          <w:lang w:val="it-IT"/>
        </w:rPr>
        <w:t xml:space="preserve">Scopo dello studio                                                                                                                                </w:t>
      </w:r>
    </w:p>
    <w:p w:rsidR="006678A9" w:rsidRDefault="006678A9" w:rsidP="006678A9">
      <w:pPr>
        <w:spacing w:after="0" w:line="360" w:lineRule="auto"/>
        <w:jc w:val="both"/>
        <w:rPr>
          <w:sz w:val="24"/>
          <w:szCs w:val="24"/>
          <w:lang w:val="it-IT"/>
        </w:rPr>
      </w:pPr>
      <w:r w:rsidRPr="00FC35B5">
        <w:rPr>
          <w:sz w:val="24"/>
          <w:szCs w:val="24"/>
          <w:lang w:val="it-IT"/>
        </w:rPr>
        <w:t>Scopo di quest</w:t>
      </w:r>
      <w:r>
        <w:rPr>
          <w:sz w:val="24"/>
          <w:szCs w:val="24"/>
          <w:lang w:val="it-IT"/>
        </w:rPr>
        <w:t>o</w:t>
      </w:r>
      <w:r w:rsidRPr="00FC35B5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studio retrospettivo</w:t>
      </w:r>
      <w:r w:rsidRPr="00FC35B5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è valutare il fenotipo clinico di pazienti  </w:t>
      </w:r>
      <w:r w:rsidR="00741247">
        <w:rPr>
          <w:sz w:val="24"/>
          <w:szCs w:val="24"/>
          <w:lang w:val="it-IT"/>
        </w:rPr>
        <w:t>affetti da difetti del fibrinogeno</w:t>
      </w:r>
      <w:r>
        <w:rPr>
          <w:sz w:val="24"/>
          <w:szCs w:val="24"/>
          <w:lang w:val="it-IT"/>
        </w:rPr>
        <w:t xml:space="preserve"> presenti sul territorio italiano, e la relativa gestione di episodi emorragici e/o trombotici e loro complicanze.</w:t>
      </w:r>
    </w:p>
    <w:p w:rsidR="006678A9" w:rsidRPr="006678A9" w:rsidRDefault="006678A9" w:rsidP="006678A9">
      <w:pPr>
        <w:spacing w:line="360" w:lineRule="auto"/>
        <w:jc w:val="both"/>
        <w:rPr>
          <w:b/>
          <w:sz w:val="24"/>
          <w:szCs w:val="24"/>
          <w:u w:val="single"/>
          <w:lang w:val="it-IT"/>
        </w:rPr>
      </w:pPr>
      <w:r w:rsidRPr="006678A9">
        <w:rPr>
          <w:b/>
          <w:sz w:val="24"/>
          <w:szCs w:val="24"/>
          <w:u w:val="single"/>
          <w:lang w:val="it-IT"/>
        </w:rPr>
        <w:t xml:space="preserve">Tipologia dello studio </w:t>
      </w:r>
    </w:p>
    <w:p w:rsidR="006678A9" w:rsidRDefault="006678A9" w:rsidP="006678A9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Spontaneo, </w:t>
      </w:r>
      <w:proofErr w:type="spellStart"/>
      <w:r w:rsidRPr="003B029E">
        <w:rPr>
          <w:sz w:val="24"/>
          <w:szCs w:val="24"/>
          <w:lang w:val="it-IT"/>
        </w:rPr>
        <w:t>osservazionale</w:t>
      </w:r>
      <w:proofErr w:type="spellEnd"/>
      <w:r>
        <w:rPr>
          <w:sz w:val="24"/>
          <w:szCs w:val="24"/>
          <w:lang w:val="it-IT"/>
        </w:rPr>
        <w:t>,</w:t>
      </w:r>
      <w:r w:rsidRPr="003B029E">
        <w:rPr>
          <w:sz w:val="24"/>
          <w:szCs w:val="24"/>
          <w:lang w:val="it-IT"/>
        </w:rPr>
        <w:t xml:space="preserve"> retrospettivo</w:t>
      </w:r>
      <w:r>
        <w:rPr>
          <w:sz w:val="24"/>
          <w:szCs w:val="24"/>
          <w:lang w:val="it-IT"/>
        </w:rPr>
        <w:t>, pluricentrico.</w:t>
      </w:r>
    </w:p>
    <w:p w:rsidR="006678A9" w:rsidRPr="00E50102" w:rsidRDefault="006678A9" w:rsidP="006678A9">
      <w:pPr>
        <w:spacing w:line="360" w:lineRule="auto"/>
        <w:jc w:val="both"/>
        <w:rPr>
          <w:b/>
          <w:sz w:val="24"/>
          <w:szCs w:val="24"/>
          <w:u w:val="single"/>
          <w:lang w:val="it-IT"/>
        </w:rPr>
      </w:pPr>
      <w:r w:rsidRPr="00E50102">
        <w:rPr>
          <w:b/>
          <w:sz w:val="24"/>
          <w:szCs w:val="24"/>
          <w:u w:val="single"/>
          <w:lang w:val="it-IT"/>
        </w:rPr>
        <w:t>Pazienti e m</w:t>
      </w:r>
      <w:r>
        <w:rPr>
          <w:b/>
          <w:sz w:val="24"/>
          <w:szCs w:val="24"/>
          <w:u w:val="single"/>
          <w:lang w:val="it-IT"/>
        </w:rPr>
        <w:t>etodi</w:t>
      </w:r>
      <w:r w:rsidRPr="00E50102">
        <w:rPr>
          <w:b/>
          <w:sz w:val="24"/>
          <w:szCs w:val="24"/>
          <w:u w:val="single"/>
          <w:lang w:val="it-IT"/>
        </w:rPr>
        <w:t xml:space="preserve"> </w:t>
      </w:r>
    </w:p>
    <w:p w:rsidR="00741247" w:rsidRPr="00834D8C" w:rsidRDefault="006678A9" w:rsidP="00741247">
      <w:pPr>
        <w:spacing w:after="0"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I pazienti saranno segnalati dai Centri AICE dei quali è richiesta la collaborazione. </w:t>
      </w:r>
      <w:r w:rsidRPr="00834D8C">
        <w:rPr>
          <w:sz w:val="24"/>
          <w:szCs w:val="24"/>
          <w:lang w:val="it-IT"/>
        </w:rPr>
        <w:t xml:space="preserve">Potranno essere arruolati tutti i pazienti affetti da </w:t>
      </w:r>
      <w:proofErr w:type="spellStart"/>
      <w:r w:rsidRPr="00834D8C">
        <w:rPr>
          <w:sz w:val="24"/>
          <w:szCs w:val="24"/>
          <w:lang w:val="it-IT"/>
        </w:rPr>
        <w:t>a-ipo</w:t>
      </w:r>
      <w:r w:rsidR="00741247">
        <w:rPr>
          <w:sz w:val="24"/>
          <w:szCs w:val="24"/>
          <w:lang w:val="it-IT"/>
        </w:rPr>
        <w:t>-dis-</w:t>
      </w:r>
      <w:r w:rsidRPr="00834D8C">
        <w:rPr>
          <w:sz w:val="24"/>
          <w:szCs w:val="24"/>
          <w:lang w:val="it-IT"/>
        </w:rPr>
        <w:t>fibrinogenemia</w:t>
      </w:r>
      <w:proofErr w:type="spellEnd"/>
      <w:r w:rsidRPr="00834D8C">
        <w:rPr>
          <w:sz w:val="24"/>
          <w:szCs w:val="24"/>
          <w:lang w:val="it-IT"/>
        </w:rPr>
        <w:t xml:space="preserve">, </w:t>
      </w:r>
      <w:r w:rsidR="00741247" w:rsidRPr="00834D8C">
        <w:rPr>
          <w:sz w:val="24"/>
          <w:szCs w:val="24"/>
          <w:lang w:val="it-IT"/>
        </w:rPr>
        <w:t xml:space="preserve">la cui diagnosi sarà effettuata in base al </w:t>
      </w:r>
      <w:r w:rsidR="00741247">
        <w:rPr>
          <w:sz w:val="24"/>
          <w:szCs w:val="24"/>
          <w:lang w:val="it-IT"/>
        </w:rPr>
        <w:t>fenotipo coagulativo:</w:t>
      </w:r>
      <w:r w:rsidR="00741247" w:rsidRPr="00834D8C">
        <w:rPr>
          <w:sz w:val="24"/>
          <w:szCs w:val="24"/>
          <w:lang w:val="it-IT"/>
        </w:rPr>
        <w:t xml:space="preserve"> </w:t>
      </w:r>
      <w:r w:rsidR="00741247">
        <w:rPr>
          <w:sz w:val="24"/>
          <w:szCs w:val="24"/>
          <w:lang w:val="it-IT"/>
        </w:rPr>
        <w:t>assenza di</w:t>
      </w:r>
      <w:r w:rsidR="00741247" w:rsidRPr="00834D8C">
        <w:rPr>
          <w:sz w:val="24"/>
          <w:szCs w:val="24"/>
          <w:lang w:val="it-IT"/>
        </w:rPr>
        <w:t xml:space="preserve">  fibrinogeno</w:t>
      </w:r>
      <w:r w:rsidR="00741247">
        <w:rPr>
          <w:sz w:val="24"/>
          <w:szCs w:val="24"/>
          <w:lang w:val="it-IT"/>
        </w:rPr>
        <w:t xml:space="preserve"> attività e antigene</w:t>
      </w:r>
      <w:r w:rsidR="00741247" w:rsidRPr="00834D8C">
        <w:rPr>
          <w:sz w:val="24"/>
          <w:szCs w:val="24"/>
          <w:lang w:val="it-IT"/>
        </w:rPr>
        <w:t xml:space="preserve"> </w:t>
      </w:r>
      <w:r w:rsidR="00741247">
        <w:rPr>
          <w:sz w:val="24"/>
          <w:szCs w:val="24"/>
          <w:lang w:val="it-IT"/>
        </w:rPr>
        <w:t>per l’</w:t>
      </w:r>
      <w:proofErr w:type="spellStart"/>
      <w:r w:rsidR="00741247">
        <w:rPr>
          <w:sz w:val="24"/>
          <w:szCs w:val="24"/>
          <w:lang w:val="it-IT"/>
        </w:rPr>
        <w:t>afibrinogenemia</w:t>
      </w:r>
      <w:proofErr w:type="spellEnd"/>
      <w:r w:rsidR="00741247">
        <w:rPr>
          <w:sz w:val="24"/>
          <w:szCs w:val="24"/>
          <w:lang w:val="it-IT"/>
        </w:rPr>
        <w:t xml:space="preserve"> e ridotti livelli, consensuali, di fibrinogeno attività e antigene per l’</w:t>
      </w:r>
      <w:proofErr w:type="spellStart"/>
      <w:r w:rsidR="00741247">
        <w:rPr>
          <w:sz w:val="24"/>
          <w:szCs w:val="24"/>
          <w:lang w:val="it-IT"/>
        </w:rPr>
        <w:t>ipofibrinogenemia</w:t>
      </w:r>
      <w:proofErr w:type="spellEnd"/>
      <w:r w:rsidR="00741247">
        <w:rPr>
          <w:sz w:val="24"/>
          <w:szCs w:val="24"/>
          <w:lang w:val="it-IT"/>
        </w:rPr>
        <w:t xml:space="preserve">; in caso di </w:t>
      </w:r>
      <w:proofErr w:type="spellStart"/>
      <w:r w:rsidR="00741247">
        <w:rPr>
          <w:sz w:val="24"/>
          <w:szCs w:val="24"/>
          <w:lang w:val="it-IT"/>
        </w:rPr>
        <w:lastRenderedPageBreak/>
        <w:t>disfibrinogenemia</w:t>
      </w:r>
      <w:proofErr w:type="spellEnd"/>
      <w:r w:rsidR="00741247">
        <w:rPr>
          <w:sz w:val="24"/>
          <w:szCs w:val="24"/>
          <w:lang w:val="it-IT"/>
        </w:rPr>
        <w:t xml:space="preserve"> la diagnosi sarà basata sulla discrepanza tra l’attività e l’antigene del fibrinogeno. In particolare un rapporto </w:t>
      </w:r>
      <w:r w:rsidR="00741247" w:rsidRPr="00834D8C">
        <w:rPr>
          <w:sz w:val="24"/>
          <w:szCs w:val="24"/>
          <w:lang w:val="it-IT"/>
        </w:rPr>
        <w:t xml:space="preserve"> </w:t>
      </w:r>
      <w:r w:rsidR="00741247">
        <w:rPr>
          <w:sz w:val="24"/>
          <w:szCs w:val="24"/>
          <w:lang w:val="it-IT"/>
        </w:rPr>
        <w:t xml:space="preserve">&lt;0,7 viene considerato suggestivo per </w:t>
      </w:r>
      <w:proofErr w:type="spellStart"/>
      <w:r w:rsidR="00741247">
        <w:rPr>
          <w:sz w:val="24"/>
          <w:szCs w:val="24"/>
          <w:lang w:val="it-IT"/>
        </w:rPr>
        <w:t>disfibrinogenemia</w:t>
      </w:r>
      <w:proofErr w:type="spellEnd"/>
      <w:r w:rsidR="00741247">
        <w:rPr>
          <w:sz w:val="24"/>
          <w:szCs w:val="24"/>
          <w:lang w:val="it-IT"/>
        </w:rPr>
        <w:t>.</w:t>
      </w:r>
      <w:r w:rsidR="00741247" w:rsidRPr="00834D8C">
        <w:rPr>
          <w:sz w:val="24"/>
          <w:szCs w:val="24"/>
          <w:lang w:val="it-IT"/>
        </w:rPr>
        <w:t xml:space="preserve"> </w:t>
      </w:r>
    </w:p>
    <w:p w:rsidR="00067559" w:rsidRPr="006678A9" w:rsidRDefault="00741247" w:rsidP="00741247">
      <w:pPr>
        <w:spacing w:after="0" w:line="360" w:lineRule="auto"/>
        <w:jc w:val="both"/>
        <w:rPr>
          <w:b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Il fenotipo emorragico verrà quantificato utilizzando il “</w:t>
      </w:r>
      <w:proofErr w:type="spellStart"/>
      <w:r>
        <w:rPr>
          <w:sz w:val="24"/>
          <w:szCs w:val="24"/>
          <w:lang w:val="it-IT"/>
        </w:rPr>
        <w:t>bleeding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assessment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tool</w:t>
      </w:r>
      <w:proofErr w:type="spellEnd"/>
      <w:r>
        <w:rPr>
          <w:sz w:val="24"/>
          <w:szCs w:val="24"/>
          <w:lang w:val="it-IT"/>
        </w:rPr>
        <w:t xml:space="preserve">” (BAT) della Società Internazionale di Emostasi e </w:t>
      </w:r>
      <w:r w:rsidRPr="00D97520">
        <w:rPr>
          <w:sz w:val="24"/>
          <w:szCs w:val="24"/>
          <w:lang w:val="it-IT"/>
        </w:rPr>
        <w:t>Trombosi</w:t>
      </w:r>
      <w:r>
        <w:rPr>
          <w:sz w:val="24"/>
          <w:szCs w:val="24"/>
          <w:lang w:val="it-IT"/>
        </w:rPr>
        <w:t>.</w:t>
      </w:r>
      <w:r w:rsidRPr="00D97520">
        <w:rPr>
          <w:sz w:val="24"/>
          <w:szCs w:val="24"/>
          <w:lang w:val="it-IT"/>
        </w:rPr>
        <w:t xml:space="preserve"> </w:t>
      </w:r>
      <w:r w:rsidR="006678A9" w:rsidRPr="00834D8C">
        <w:rPr>
          <w:sz w:val="24"/>
          <w:szCs w:val="24"/>
          <w:lang w:val="it-IT"/>
        </w:rPr>
        <w:t>Verranno raccolti i dati clinici anamnestici già presenti nelle cartelle cliniche.</w:t>
      </w:r>
      <w:r w:rsidR="006678A9">
        <w:rPr>
          <w:sz w:val="24"/>
          <w:szCs w:val="24"/>
          <w:lang w:val="it-IT"/>
        </w:rPr>
        <w:t xml:space="preserve"> Per raccogliere i dati si utilizza una CRF ad hoc, che verrà inviata a tutti i centri insieme al protocollo. I dati richiesti sono sia  di natura demografica, sia riguardanti la storia clinica.</w:t>
      </w:r>
    </w:p>
    <w:sectPr w:rsidR="00067559" w:rsidRPr="006678A9" w:rsidSect="000675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678A9"/>
    <w:rsid w:val="00067559"/>
    <w:rsid w:val="006678A9"/>
    <w:rsid w:val="00741247"/>
    <w:rsid w:val="00A94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8A9"/>
    <w:rPr>
      <w:rFonts w:ascii="Calibri" w:eastAsia="Calibri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santoro</dc:creator>
  <cp:keywords/>
  <dc:description/>
  <cp:lastModifiedBy>santoro</cp:lastModifiedBy>
  <cp:revision>3</cp:revision>
  <dcterms:created xsi:type="dcterms:W3CDTF">2015-04-07T15:53:00Z</dcterms:created>
  <dcterms:modified xsi:type="dcterms:W3CDTF">2015-09-17T08:25:00Z</dcterms:modified>
</cp:coreProperties>
</file>